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9C35A" w14:textId="499D534D" w:rsidR="00C16C26" w:rsidRPr="00C16C26" w:rsidRDefault="00C16C26" w:rsidP="00C16C26">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Standards for Museum Exhibits Dealing With Historical Subjects</w:t>
      </w:r>
    </w:p>
    <w:p w14:paraId="0F8DFE9F" w14:textId="66780299" w:rsidR="00C16C26" w:rsidRPr="00C16C26" w:rsidRDefault="00C16C26" w:rsidP="00C16C26">
      <w:pPr>
        <w:spacing w:before="100" w:beforeAutospacing="1" w:after="100" w:afterAutospacing="1" w:line="240" w:lineRule="auto"/>
        <w:rPr>
          <w:rFonts w:ascii="Times New Roman" w:eastAsia="Times New Roman" w:hAnsi="Times New Roman" w:cs="Times New Roman"/>
          <w:sz w:val="24"/>
          <w:szCs w:val="24"/>
        </w:rPr>
      </w:pPr>
      <w:r w:rsidRPr="00C16C26">
        <w:rPr>
          <w:rFonts w:ascii="Times New Roman" w:eastAsia="Times New Roman" w:hAnsi="Times New Roman" w:cs="Times New Roman"/>
          <w:sz w:val="24"/>
          <w:szCs w:val="24"/>
        </w:rPr>
        <w:t>In a democracy, a knowledge of history forms the context in which citizens make informed decisions. Historical understandings of diverse societies assists individuals in identifying commonalities in the human condition and in negotiating the differences that exist in our increasingly pluralistic world. Historical knowledge also provides personal, family, and community links to the past. Historical understandings of other societies assists individuals in identifying commonalities in the human condition and in negotiating the differences that exist in our increasingly pluralistic world.</w:t>
      </w:r>
    </w:p>
    <w:p w14:paraId="556DE4D7" w14:textId="77777777" w:rsidR="00C16C26" w:rsidRPr="00C16C26" w:rsidRDefault="00C16C26" w:rsidP="00C16C26">
      <w:pPr>
        <w:spacing w:before="100" w:beforeAutospacing="1" w:after="100" w:afterAutospacing="1" w:line="240" w:lineRule="auto"/>
        <w:rPr>
          <w:rFonts w:ascii="Times New Roman" w:eastAsia="Times New Roman" w:hAnsi="Times New Roman" w:cs="Times New Roman"/>
          <w:sz w:val="24"/>
          <w:szCs w:val="24"/>
        </w:rPr>
      </w:pPr>
      <w:r w:rsidRPr="00C16C26">
        <w:rPr>
          <w:rFonts w:ascii="Times New Roman" w:eastAsia="Times New Roman" w:hAnsi="Times New Roman" w:cs="Times New Roman"/>
          <w:sz w:val="24"/>
          <w:szCs w:val="24"/>
        </w:rPr>
        <w:t>Museum exhibits play an important role in the transmission of historical knowledge. They are viewed by citizens of diverse ages, interests, and backgrounds, often in family groups. They sometimes celebrate common events, occasionally memorialize tragedies or injustices, and contain an interpretive element, even if it is not readily apparent. The process of selecting themes, photographs, objects, documents, and other components to be included in an exhibit implies interpretive judgments about cause and effect, perspective, significance, and meaning.</w:t>
      </w:r>
    </w:p>
    <w:p w14:paraId="73F0E617" w14:textId="77777777" w:rsidR="00C16C26" w:rsidRPr="00C16C26" w:rsidRDefault="00C16C26" w:rsidP="00C16C26">
      <w:pPr>
        <w:spacing w:before="100" w:beforeAutospacing="1" w:after="100" w:afterAutospacing="1" w:line="240" w:lineRule="auto"/>
        <w:rPr>
          <w:rFonts w:ascii="Times New Roman" w:eastAsia="Times New Roman" w:hAnsi="Times New Roman" w:cs="Times New Roman"/>
          <w:sz w:val="24"/>
          <w:szCs w:val="24"/>
        </w:rPr>
      </w:pPr>
      <w:r w:rsidRPr="00C16C26">
        <w:rPr>
          <w:rFonts w:ascii="Times New Roman" w:eastAsia="Times New Roman" w:hAnsi="Times New Roman" w:cs="Times New Roman"/>
          <w:sz w:val="24"/>
          <w:szCs w:val="24"/>
        </w:rPr>
        <w:t>Historical exhibits may encourage the informed discussion of their content and the broader issues of historical significance they raise. Attempts to suppress exhibits or to impose an uncritical point of view, however widely shared, are inimical to open and rational discussion.</w:t>
      </w:r>
    </w:p>
    <w:p w14:paraId="7BB80653" w14:textId="77777777" w:rsidR="00C16C26" w:rsidRPr="00C16C26" w:rsidRDefault="00C16C26" w:rsidP="00C16C26">
      <w:pPr>
        <w:spacing w:before="100" w:beforeAutospacing="1" w:after="100" w:afterAutospacing="1" w:line="240" w:lineRule="auto"/>
        <w:rPr>
          <w:rFonts w:ascii="Times New Roman" w:eastAsia="Times New Roman" w:hAnsi="Times New Roman" w:cs="Times New Roman"/>
          <w:sz w:val="24"/>
          <w:szCs w:val="24"/>
        </w:rPr>
      </w:pPr>
      <w:r w:rsidRPr="00C16C26">
        <w:rPr>
          <w:rFonts w:ascii="Times New Roman" w:eastAsia="Times New Roman" w:hAnsi="Times New Roman" w:cs="Times New Roman"/>
          <w:sz w:val="24"/>
          <w:szCs w:val="24"/>
        </w:rPr>
        <w:t>In aiming to achieve exhibit goals, historians, museum curators, administrators, and members of museum boards should approach their task mindful of their public trust. To discharge their duties appropriately, they should observe the following standards:</w:t>
      </w:r>
    </w:p>
    <w:p w14:paraId="5DD795A9" w14:textId="77777777" w:rsidR="00C16C26" w:rsidRPr="00C16C26" w:rsidRDefault="00C16C26" w:rsidP="00C16C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C26">
        <w:rPr>
          <w:rFonts w:ascii="Times New Roman" w:eastAsia="Times New Roman" w:hAnsi="Times New Roman" w:cs="Times New Roman"/>
          <w:sz w:val="24"/>
          <w:szCs w:val="24"/>
        </w:rPr>
        <w:t>Exhibits should be grounded in scholarship, marked by intellectual integrity, and subjected to rigorous peer review. Evidence considered in preparing the exhibit may include objects, written documentation, oral histories, images, works of art, music, and folklore.</w:t>
      </w:r>
    </w:p>
    <w:p w14:paraId="329569CF" w14:textId="77777777" w:rsidR="00C16C26" w:rsidRPr="00C16C26" w:rsidRDefault="00C16C26" w:rsidP="00C16C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C26">
        <w:rPr>
          <w:rFonts w:ascii="Times New Roman" w:eastAsia="Times New Roman" w:hAnsi="Times New Roman" w:cs="Times New Roman"/>
          <w:sz w:val="24"/>
          <w:szCs w:val="24"/>
        </w:rPr>
        <w:t>At the outset of the exhibit process, museums should engage stakeholders in any exhibit and may wish to involve their representatives in the planning process.</w:t>
      </w:r>
    </w:p>
    <w:p w14:paraId="2908F5E1" w14:textId="77777777" w:rsidR="00C16C26" w:rsidRPr="00C16C26" w:rsidRDefault="00C16C26" w:rsidP="00C16C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C26">
        <w:rPr>
          <w:rFonts w:ascii="Times New Roman" w:eastAsia="Times New Roman" w:hAnsi="Times New Roman" w:cs="Times New Roman"/>
          <w:sz w:val="24"/>
          <w:szCs w:val="24"/>
        </w:rPr>
        <w:t>Museums and other institutions funded with public monies should be keenly aware of the diversity within communities and constituencies that they serve.</w:t>
      </w:r>
    </w:p>
    <w:p w14:paraId="57CD7DBF" w14:textId="77777777" w:rsidR="00C16C26" w:rsidRPr="00C16C26" w:rsidRDefault="00C16C26" w:rsidP="00C16C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C26">
        <w:rPr>
          <w:rFonts w:ascii="Times New Roman" w:eastAsia="Times New Roman" w:hAnsi="Times New Roman" w:cs="Times New Roman"/>
          <w:sz w:val="24"/>
          <w:szCs w:val="24"/>
        </w:rPr>
        <w:t>When an exhibit addresses a controversial subject, it should acknowledge the existence of competing points of view. The public should be able to see that history is a changing process of interpretation and reinterpretation formed through gathering and reviewing evidence, drawing conclusions, and presenting the conclusions in text or exhibit format.</w:t>
      </w:r>
    </w:p>
    <w:p w14:paraId="015DED65" w14:textId="77777777" w:rsidR="00C16C26" w:rsidRPr="00C16C26" w:rsidRDefault="00C16C26" w:rsidP="00C16C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C26">
        <w:rPr>
          <w:rFonts w:ascii="Times New Roman" w:eastAsia="Times New Roman" w:hAnsi="Times New Roman" w:cs="Times New Roman"/>
          <w:sz w:val="24"/>
          <w:szCs w:val="24"/>
        </w:rPr>
        <w:t>Museum administrators should support the work of curators who create historical exhibits produced according to these standards.</w:t>
      </w:r>
    </w:p>
    <w:p w14:paraId="660E0140" w14:textId="77777777" w:rsidR="0094309E" w:rsidRDefault="0094309E"/>
    <w:sectPr w:rsidR="0094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E4F29"/>
    <w:multiLevelType w:val="multilevel"/>
    <w:tmpl w:val="3AD21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26"/>
    <w:rsid w:val="000B3056"/>
    <w:rsid w:val="0094309E"/>
    <w:rsid w:val="00C16C26"/>
    <w:rsid w:val="00F6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31E0"/>
  <w15:chartTrackingRefBased/>
  <w15:docId w15:val="{B74333ED-5E37-4AD5-9E35-2ABC1117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C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6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Harden</dc:creator>
  <cp:keywords/>
  <dc:description/>
  <cp:lastModifiedBy>Victoria Harden</cp:lastModifiedBy>
  <cp:revision>1</cp:revision>
  <dcterms:created xsi:type="dcterms:W3CDTF">2021-01-25T19:50:00Z</dcterms:created>
  <dcterms:modified xsi:type="dcterms:W3CDTF">2021-01-25T19:52:00Z</dcterms:modified>
</cp:coreProperties>
</file>